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8C4" w:rsidRDefault="005D58C4" w:rsidP="005D58C4">
      <w:pPr>
        <w:pStyle w:val="reader-word-layer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cs="Arial"/>
          <w:color w:val="000000"/>
          <w:sz w:val="28"/>
          <w:szCs w:val="28"/>
        </w:rPr>
      </w:pPr>
      <w:r>
        <w:rPr>
          <w:rFonts w:ascii="黑体" w:eastAsia="黑体" w:cs="Arial" w:hint="eastAsia"/>
          <w:color w:val="000000"/>
          <w:sz w:val="28"/>
          <w:szCs w:val="28"/>
        </w:rPr>
        <w:t>上海外国语大学广告学专业</w:t>
      </w:r>
    </w:p>
    <w:p w:rsidR="005D58C4" w:rsidRPr="00E012E9" w:rsidRDefault="009362DA" w:rsidP="005D58C4">
      <w:pPr>
        <w:pStyle w:val="reader-word-layer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cs="Arial"/>
          <w:color w:val="000000"/>
          <w:sz w:val="28"/>
          <w:szCs w:val="28"/>
        </w:rPr>
      </w:pPr>
      <w:r>
        <w:rPr>
          <w:rFonts w:ascii="黑体" w:eastAsia="黑体" w:cs="Arial" w:hint="eastAsia"/>
          <w:color w:val="000000"/>
          <w:sz w:val="28"/>
          <w:szCs w:val="28"/>
        </w:rPr>
        <w:t>《</w:t>
      </w:r>
      <w:r w:rsidR="005D58C4">
        <w:rPr>
          <w:rFonts w:ascii="黑体" w:eastAsia="黑体" w:cs="Arial" w:hint="eastAsia"/>
          <w:color w:val="000000"/>
          <w:sz w:val="28"/>
          <w:szCs w:val="28"/>
        </w:rPr>
        <w:t>广告理论与模型</w:t>
      </w:r>
      <w:r w:rsidR="005D58C4" w:rsidRPr="00E012E9">
        <w:rPr>
          <w:rFonts w:ascii="黑体" w:eastAsia="黑体" w:cs="Arial" w:hint="eastAsia"/>
          <w:color w:val="000000"/>
          <w:sz w:val="28"/>
          <w:szCs w:val="28"/>
        </w:rPr>
        <w:t>》课程教学大纲</w:t>
      </w:r>
    </w:p>
    <w:p w:rsidR="005D58C4" w:rsidRPr="005D58C4" w:rsidRDefault="005D58C4" w:rsidP="005D58C4">
      <w:pPr>
        <w:pStyle w:val="reader-word-layer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cs="Arial"/>
          <w:color w:val="000000"/>
          <w:sz w:val="28"/>
          <w:szCs w:val="28"/>
        </w:rPr>
      </w:pPr>
    </w:p>
    <w:p w:rsidR="005D58C4" w:rsidRPr="00D91832" w:rsidRDefault="005D58C4" w:rsidP="005D58C4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r w:rsidRPr="00D91832">
        <w:rPr>
          <w:rFonts w:ascii="宋体" w:hAnsi="宋体" w:cs="宋体" w:hint="eastAsia"/>
          <w:color w:val="000000"/>
          <w:szCs w:val="20"/>
        </w:rPr>
        <w:t>【课程名称】：</w:t>
      </w:r>
      <w:r>
        <w:rPr>
          <w:rFonts w:ascii="宋体" w:hAnsi="宋体" w:cs="宋体" w:hint="eastAsia"/>
          <w:color w:val="000000"/>
          <w:szCs w:val="20"/>
        </w:rPr>
        <w:t>广告理论与模型</w:t>
      </w:r>
      <w:r>
        <w:rPr>
          <w:rFonts w:ascii="宋体" w:hAnsi="宋体" w:cs="宋体"/>
          <w:color w:val="000000"/>
          <w:szCs w:val="20"/>
        </w:rPr>
        <w:t xml:space="preserve">Advertising &amp; Communication </w:t>
      </w:r>
      <w:r w:rsidR="003B135C">
        <w:rPr>
          <w:rFonts w:ascii="宋体" w:hAnsi="宋体" w:cs="宋体"/>
          <w:color w:val="000000"/>
          <w:szCs w:val="20"/>
        </w:rPr>
        <w:t>Theories</w:t>
      </w:r>
      <w:r w:rsidR="008D576B">
        <w:rPr>
          <w:rFonts w:ascii="宋体" w:hAnsi="宋体" w:cs="宋体"/>
          <w:color w:val="000000"/>
          <w:szCs w:val="20"/>
        </w:rPr>
        <w:t xml:space="preserve"> </w:t>
      </w:r>
      <w:r w:rsidR="008D576B">
        <w:rPr>
          <w:rFonts w:ascii="宋体" w:hAnsi="宋体" w:cs="宋体" w:hint="eastAsia"/>
          <w:color w:val="000000"/>
          <w:szCs w:val="20"/>
        </w:rPr>
        <w:t>&amp;</w:t>
      </w:r>
      <w:r w:rsidR="008D576B">
        <w:rPr>
          <w:rFonts w:ascii="宋体" w:hAnsi="宋体" w:cs="宋体"/>
          <w:color w:val="000000"/>
          <w:szCs w:val="20"/>
        </w:rPr>
        <w:t xml:space="preserve"> </w:t>
      </w:r>
      <w:r w:rsidR="008D576B">
        <w:rPr>
          <w:rFonts w:ascii="宋体" w:hAnsi="宋体" w:cs="宋体" w:hint="eastAsia"/>
          <w:color w:val="000000"/>
          <w:szCs w:val="20"/>
        </w:rPr>
        <w:t>Models</w:t>
      </w:r>
    </w:p>
    <w:p w:rsidR="005D58C4" w:rsidRPr="00D91832" w:rsidRDefault="005D58C4" w:rsidP="005D58C4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【课程代码】：</w:t>
      </w:r>
    </w:p>
    <w:p w:rsidR="005D58C4" w:rsidRPr="00D91832" w:rsidRDefault="005D58C4" w:rsidP="005D58C4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【学时学分】</w:t>
      </w:r>
      <w:r>
        <w:rPr>
          <w:rFonts w:ascii="宋体" w:hAnsi="宋体" w:cs="宋体" w:hint="eastAsia"/>
          <w:color w:val="000000"/>
          <w:szCs w:val="20"/>
        </w:rPr>
        <w:t>2</w:t>
      </w:r>
    </w:p>
    <w:p w:rsidR="005D58C4" w:rsidRPr="00D91832" w:rsidRDefault="005D58C4" w:rsidP="005D58C4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【适用专业】</w:t>
      </w:r>
      <w:r>
        <w:rPr>
          <w:rFonts w:ascii="宋体" w:hAnsi="宋体" w:cs="宋体" w:hint="eastAsia"/>
          <w:color w:val="000000"/>
          <w:szCs w:val="20"/>
        </w:rPr>
        <w:t>广告学、</w:t>
      </w:r>
      <w:r w:rsidR="008D576B">
        <w:rPr>
          <w:rFonts w:ascii="宋体" w:hAnsi="宋体" w:cs="宋体" w:hint="eastAsia"/>
          <w:color w:val="000000"/>
          <w:szCs w:val="20"/>
        </w:rPr>
        <w:t>商科、</w:t>
      </w:r>
      <w:r>
        <w:rPr>
          <w:rFonts w:ascii="宋体" w:hAnsi="宋体" w:cs="宋体" w:hint="eastAsia"/>
          <w:color w:val="000000"/>
          <w:szCs w:val="20"/>
        </w:rPr>
        <w:t>新闻传播学</w:t>
      </w:r>
    </w:p>
    <w:p w:rsidR="005D58C4" w:rsidRPr="00D91832" w:rsidRDefault="005D58C4" w:rsidP="005D58C4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【开课学期】</w:t>
      </w:r>
      <w:r>
        <w:rPr>
          <w:rFonts w:ascii="宋体" w:hAnsi="宋体" w:cs="宋体" w:hint="eastAsia"/>
          <w:color w:val="000000"/>
          <w:szCs w:val="20"/>
        </w:rPr>
        <w:t>1</w:t>
      </w:r>
    </w:p>
    <w:p w:rsidR="005D58C4" w:rsidRPr="00D91832" w:rsidRDefault="005D58C4" w:rsidP="005D58C4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【先修课程】</w:t>
      </w:r>
      <w:r w:rsidR="008D576B">
        <w:rPr>
          <w:rFonts w:ascii="宋体" w:hAnsi="宋体" w:cs="宋体" w:hint="eastAsia"/>
          <w:color w:val="000000"/>
          <w:szCs w:val="20"/>
        </w:rPr>
        <w:t>营销管理、整合营销传播</w:t>
      </w:r>
    </w:p>
    <w:p w:rsidR="005D58C4" w:rsidRPr="00D91832" w:rsidRDefault="005D58C4" w:rsidP="005D58C4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【授课教师】</w:t>
      </w:r>
      <w:r w:rsidR="00673AFD">
        <w:rPr>
          <w:rFonts w:ascii="宋体" w:hAnsi="宋体" w:cs="宋体"/>
          <w:color w:val="000000"/>
          <w:szCs w:val="20"/>
        </w:rPr>
        <w:t>顾明毅</w:t>
      </w:r>
    </w:p>
    <w:p w:rsidR="005D58C4" w:rsidRPr="005D58C4" w:rsidRDefault="005D58C4" w:rsidP="005D58C4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  <w:szCs w:val="21"/>
        </w:rPr>
      </w:pPr>
    </w:p>
    <w:p w:rsidR="005D58C4" w:rsidRPr="00762913" w:rsidRDefault="005D58C4" w:rsidP="00673AFD">
      <w:pPr>
        <w:adjustRightInd w:val="0"/>
        <w:snapToGrid w:val="0"/>
        <w:spacing w:line="360" w:lineRule="auto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一、</w:t>
      </w:r>
      <w:r w:rsidRPr="00762913">
        <w:rPr>
          <w:rFonts w:ascii="黑体" w:eastAsia="黑体" w:cs="宋体" w:hint="eastAsia"/>
          <w:color w:val="000000"/>
          <w:szCs w:val="20"/>
        </w:rPr>
        <w:t>教学目的</w:t>
      </w:r>
      <w:r>
        <w:rPr>
          <w:rFonts w:ascii="黑体" w:eastAsia="黑体" w:cs="宋体" w:hint="eastAsia"/>
          <w:color w:val="000000"/>
          <w:szCs w:val="20"/>
        </w:rPr>
        <w:t>【黑体，小4号，1.5倍行距，下同】</w:t>
      </w:r>
    </w:p>
    <w:p w:rsidR="00143345" w:rsidRDefault="00667316" w:rsidP="00143345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5D58C4" w:rsidRPr="005D58C4">
        <w:rPr>
          <w:rFonts w:hint="eastAsia"/>
          <w:sz w:val="24"/>
          <w:szCs w:val="24"/>
        </w:rPr>
        <w:t>世纪</w:t>
      </w:r>
      <w:r>
        <w:rPr>
          <w:rFonts w:hint="eastAsia"/>
          <w:sz w:val="24"/>
          <w:szCs w:val="24"/>
        </w:rPr>
        <w:t>的理论与学科奠基过程中，产生了独立的广告学，融汇了经济学、社会学、营销学、心理学、信息学等跨专业知识，</w:t>
      </w:r>
      <w:r w:rsidR="005D58C4" w:rsidRPr="005D58C4">
        <w:rPr>
          <w:rFonts w:hint="eastAsia"/>
          <w:sz w:val="24"/>
          <w:szCs w:val="24"/>
        </w:rPr>
        <w:t>广告</w:t>
      </w:r>
      <w:r>
        <w:rPr>
          <w:rFonts w:hint="eastAsia"/>
          <w:sz w:val="24"/>
          <w:szCs w:val="24"/>
        </w:rPr>
        <w:t>理论与营销传播结构在学理上的关系需要呈现；经典社会分工时代的广告专业也</w:t>
      </w:r>
      <w:r w:rsidR="009362DA">
        <w:rPr>
          <w:rFonts w:hint="eastAsia"/>
          <w:sz w:val="24"/>
          <w:szCs w:val="24"/>
        </w:rPr>
        <w:t>需要广告、传播</w:t>
      </w:r>
      <w:r>
        <w:rPr>
          <w:rFonts w:hint="eastAsia"/>
          <w:sz w:val="24"/>
          <w:szCs w:val="24"/>
        </w:rPr>
        <w:t>、新闻专业学生理解和消化，从而展开面向未来的商业信息传播的</w:t>
      </w:r>
      <w:r w:rsidR="00143345">
        <w:rPr>
          <w:rFonts w:hint="eastAsia"/>
          <w:sz w:val="24"/>
          <w:szCs w:val="24"/>
        </w:rPr>
        <w:t>学位论文</w:t>
      </w:r>
      <w:r w:rsidR="009362DA">
        <w:rPr>
          <w:rFonts w:hint="eastAsia"/>
          <w:sz w:val="24"/>
          <w:szCs w:val="24"/>
        </w:rPr>
        <w:t>。</w:t>
      </w:r>
    </w:p>
    <w:p w:rsidR="00143345" w:rsidRPr="00673AFD" w:rsidRDefault="00143345" w:rsidP="00143345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5D58C4">
        <w:rPr>
          <w:rFonts w:hint="eastAsia"/>
          <w:sz w:val="24"/>
          <w:szCs w:val="24"/>
        </w:rPr>
        <w:t>进入新世纪，网络的发展，使整个世界的知识创新和传播速度加快。网络、通讯等信息技术引发了媒介生态的巨大变化，这种变化已经对广告乃至营销产生了深刻的影响。广告知识创新和广告理论研究</w:t>
      </w:r>
      <w:r>
        <w:rPr>
          <w:rFonts w:hint="eastAsia"/>
          <w:sz w:val="24"/>
          <w:szCs w:val="24"/>
        </w:rPr>
        <w:t>都将围绕新媒体及其引发的广告乃至营销变革而展开。</w:t>
      </w:r>
      <w:r w:rsidRPr="005D58C4">
        <w:rPr>
          <w:sz w:val="24"/>
          <w:szCs w:val="24"/>
        </w:rPr>
        <w:t>研究生</w:t>
      </w:r>
      <w:r>
        <w:rPr>
          <w:sz w:val="24"/>
          <w:szCs w:val="24"/>
        </w:rPr>
        <w:t>应</w:t>
      </w:r>
      <w:r w:rsidRPr="005D58C4">
        <w:rPr>
          <w:sz w:val="24"/>
          <w:szCs w:val="24"/>
        </w:rPr>
        <w:t>具有</w:t>
      </w:r>
      <w:r>
        <w:rPr>
          <w:sz w:val="24"/>
          <w:szCs w:val="24"/>
        </w:rPr>
        <w:t>广告学、</w:t>
      </w:r>
      <w:r w:rsidRPr="005D58C4">
        <w:rPr>
          <w:sz w:val="24"/>
          <w:szCs w:val="24"/>
        </w:rPr>
        <w:t>营销学和传播学的理论基础，并对</w:t>
      </w:r>
      <w:r w:rsidRPr="005D58C4">
        <w:rPr>
          <w:sz w:val="24"/>
          <w:szCs w:val="24"/>
        </w:rPr>
        <w:t>21</w:t>
      </w:r>
      <w:r w:rsidRPr="005D58C4">
        <w:rPr>
          <w:sz w:val="24"/>
          <w:szCs w:val="24"/>
        </w:rPr>
        <w:t>世纪数字</w:t>
      </w:r>
      <w:r>
        <w:rPr>
          <w:sz w:val="24"/>
          <w:szCs w:val="24"/>
        </w:rPr>
        <w:t>营销与</w:t>
      </w:r>
      <w:r w:rsidRPr="005D58C4">
        <w:rPr>
          <w:sz w:val="24"/>
          <w:szCs w:val="24"/>
        </w:rPr>
        <w:t>互联网经济</w:t>
      </w:r>
      <w:r>
        <w:rPr>
          <w:sz w:val="24"/>
          <w:szCs w:val="24"/>
        </w:rPr>
        <w:t>社会产生</w:t>
      </w:r>
      <w:r w:rsidRPr="005D58C4">
        <w:rPr>
          <w:sz w:val="24"/>
          <w:szCs w:val="24"/>
        </w:rPr>
        <w:t>兴趣。</w:t>
      </w:r>
    </w:p>
    <w:p w:rsidR="009362DA" w:rsidRPr="00143345" w:rsidRDefault="009362DA" w:rsidP="00673AFD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:rsidR="005D58C4" w:rsidRPr="009362DA" w:rsidRDefault="005D58C4" w:rsidP="00667316">
      <w:pPr>
        <w:adjustRightInd w:val="0"/>
        <w:snapToGrid w:val="0"/>
        <w:spacing w:line="360" w:lineRule="auto"/>
        <w:rPr>
          <w:rFonts w:ascii="黑体" w:eastAsia="黑体" w:cs="宋体"/>
          <w:color w:val="000000"/>
          <w:szCs w:val="20"/>
        </w:rPr>
      </w:pPr>
    </w:p>
    <w:p w:rsidR="005D58C4" w:rsidRPr="00611599" w:rsidRDefault="005D58C4" w:rsidP="00673AFD">
      <w:pPr>
        <w:adjustRightInd w:val="0"/>
        <w:snapToGrid w:val="0"/>
        <w:spacing w:line="360" w:lineRule="auto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二、</w:t>
      </w:r>
      <w:r w:rsidRPr="00611599">
        <w:rPr>
          <w:rFonts w:ascii="黑体" w:eastAsia="黑体" w:cs="宋体" w:hint="eastAsia"/>
          <w:color w:val="000000"/>
          <w:szCs w:val="20"/>
        </w:rPr>
        <w:t>课程简介（200-300字）</w:t>
      </w:r>
    </w:p>
    <w:p w:rsidR="003B135C" w:rsidRDefault="003B135C" w:rsidP="003B135C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3B135C">
        <w:rPr>
          <w:sz w:val="24"/>
          <w:szCs w:val="24"/>
        </w:rPr>
        <w:t>本课程关注</w:t>
      </w:r>
      <w:r w:rsidR="009362DA">
        <w:rPr>
          <w:sz w:val="24"/>
          <w:szCs w:val="24"/>
        </w:rPr>
        <w:t>20</w:t>
      </w:r>
      <w:r w:rsidR="009362DA">
        <w:rPr>
          <w:sz w:val="24"/>
          <w:szCs w:val="24"/>
        </w:rPr>
        <w:t>世纪经典的</w:t>
      </w:r>
      <w:r w:rsidRPr="003B135C">
        <w:rPr>
          <w:rFonts w:hint="eastAsia"/>
          <w:sz w:val="24"/>
          <w:szCs w:val="24"/>
        </w:rPr>
        <w:t>广告知识创新和广告理论研究</w:t>
      </w:r>
      <w:r w:rsidR="009362DA">
        <w:rPr>
          <w:rFonts w:hint="eastAsia"/>
          <w:sz w:val="24"/>
          <w:szCs w:val="24"/>
        </w:rPr>
        <w:t>，及其所伴随的营销革命和传播社会发展</w:t>
      </w:r>
      <w:r w:rsidRPr="003B135C">
        <w:rPr>
          <w:rFonts w:hint="eastAsia"/>
          <w:sz w:val="24"/>
          <w:szCs w:val="24"/>
        </w:rPr>
        <w:t>。</w:t>
      </w:r>
      <w:r w:rsidR="009362DA">
        <w:rPr>
          <w:rFonts w:hint="eastAsia"/>
          <w:sz w:val="24"/>
          <w:szCs w:val="24"/>
        </w:rPr>
        <w:t>重点在于广告心理学、说服理论和跨文化维度的理论研究历程，</w:t>
      </w:r>
      <w:r w:rsidRPr="003B135C">
        <w:rPr>
          <w:rFonts w:hint="eastAsia"/>
          <w:sz w:val="24"/>
          <w:szCs w:val="24"/>
        </w:rPr>
        <w:t>为广告研究生</w:t>
      </w:r>
      <w:r w:rsidR="009362DA">
        <w:rPr>
          <w:rFonts w:hint="eastAsia"/>
          <w:sz w:val="24"/>
          <w:szCs w:val="24"/>
        </w:rPr>
        <w:t>全面展现经典思维架构和理论模型研究方法</w:t>
      </w:r>
      <w:r w:rsidRPr="003B135C">
        <w:rPr>
          <w:rFonts w:hint="eastAsia"/>
          <w:sz w:val="24"/>
          <w:szCs w:val="24"/>
        </w:rPr>
        <w:t>。</w:t>
      </w:r>
      <w:r w:rsidRPr="003B135C">
        <w:rPr>
          <w:sz w:val="24"/>
          <w:szCs w:val="24"/>
        </w:rPr>
        <w:t>内容包括了</w:t>
      </w:r>
      <w:r w:rsidR="009362DA">
        <w:rPr>
          <w:sz w:val="24"/>
          <w:szCs w:val="24"/>
        </w:rPr>
        <w:t>认知反应理论、来源可信理论、古典条件理论、一致性理论、平衡理论、归因理论、感知风险理论、参与度理论、使用满足理论、手段目的理论、图示理论、信息处理理论、双重模式理论等</w:t>
      </w:r>
      <w:r w:rsidRPr="003B135C">
        <w:rPr>
          <w:rFonts w:hint="eastAsia"/>
          <w:sz w:val="24"/>
          <w:szCs w:val="24"/>
        </w:rPr>
        <w:t>章节。</w:t>
      </w:r>
    </w:p>
    <w:p w:rsidR="00143345" w:rsidRPr="003B135C" w:rsidRDefault="00143345" w:rsidP="00143345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3B135C">
        <w:rPr>
          <w:sz w:val="24"/>
          <w:szCs w:val="24"/>
        </w:rPr>
        <w:t>本课程关注</w:t>
      </w:r>
      <w:r w:rsidRPr="003B135C">
        <w:rPr>
          <w:rFonts w:hint="eastAsia"/>
          <w:sz w:val="24"/>
          <w:szCs w:val="24"/>
        </w:rPr>
        <w:t>广告知识创新和广告理论研究都将围绕新媒体及其引发的广告</w:t>
      </w:r>
      <w:r w:rsidRPr="003B135C">
        <w:rPr>
          <w:rFonts w:hint="eastAsia"/>
          <w:sz w:val="24"/>
          <w:szCs w:val="24"/>
        </w:rPr>
        <w:lastRenderedPageBreak/>
        <w:t>乃至营销变革。试图讲授广告</w:t>
      </w:r>
      <w:r w:rsidRPr="003B135C">
        <w:rPr>
          <w:rFonts w:hint="eastAsia"/>
          <w:sz w:val="24"/>
          <w:szCs w:val="24"/>
        </w:rPr>
        <w:t>2.0</w:t>
      </w:r>
      <w:r w:rsidRPr="003B135C">
        <w:rPr>
          <w:rFonts w:hint="eastAsia"/>
          <w:sz w:val="24"/>
          <w:szCs w:val="24"/>
        </w:rPr>
        <w:t>的相关理论基础和模型方法，为广告研究生提供新思维架构和理论依据。</w:t>
      </w:r>
      <w:r w:rsidRPr="003B135C">
        <w:rPr>
          <w:sz w:val="24"/>
          <w:szCs w:val="24"/>
        </w:rPr>
        <w:t>内容包括了西方研究方法、长尾理论、广告心理与消费行为理论、行为经济学与幸福理论、百度</w:t>
      </w:r>
      <w:r w:rsidRPr="003B135C">
        <w:rPr>
          <w:sz w:val="24"/>
          <w:szCs w:val="24"/>
        </w:rPr>
        <w:t>SIVA</w:t>
      </w:r>
      <w:r w:rsidRPr="003B135C">
        <w:rPr>
          <w:sz w:val="24"/>
          <w:szCs w:val="24"/>
        </w:rPr>
        <w:t>理论与</w:t>
      </w:r>
      <w:r w:rsidRPr="003B135C">
        <w:rPr>
          <w:sz w:val="24"/>
          <w:szCs w:val="24"/>
        </w:rPr>
        <w:t>moment</w:t>
      </w:r>
      <w:r w:rsidRPr="003B135C">
        <w:rPr>
          <w:sz w:val="24"/>
          <w:szCs w:val="24"/>
        </w:rPr>
        <w:t>模型、电通</w:t>
      </w:r>
      <w:r w:rsidRPr="003B135C">
        <w:rPr>
          <w:sz w:val="24"/>
          <w:szCs w:val="24"/>
        </w:rPr>
        <w:t>AISAS</w:t>
      </w:r>
      <w:r w:rsidRPr="003B135C">
        <w:rPr>
          <w:sz w:val="24"/>
          <w:szCs w:val="24"/>
        </w:rPr>
        <w:t>与</w:t>
      </w:r>
      <w:r w:rsidRPr="003B135C">
        <w:rPr>
          <w:sz w:val="24"/>
          <w:szCs w:val="24"/>
        </w:rPr>
        <w:t>SIPS</w:t>
      </w:r>
      <w:r w:rsidRPr="003B135C">
        <w:rPr>
          <w:sz w:val="24"/>
          <w:szCs w:val="24"/>
        </w:rPr>
        <w:t>模型、商业模式新生代、新传播的营销价值、数字营销市场数据资源、大数据理论、</w:t>
      </w:r>
      <w:r w:rsidRPr="003B135C">
        <w:rPr>
          <w:rFonts w:hint="eastAsia"/>
          <w:sz w:val="24"/>
          <w:szCs w:val="24"/>
        </w:rPr>
        <w:t>消费者参与（</w:t>
      </w:r>
      <w:r w:rsidRPr="003B135C">
        <w:rPr>
          <w:rFonts w:hint="eastAsia"/>
          <w:sz w:val="24"/>
          <w:szCs w:val="24"/>
        </w:rPr>
        <w:t>consumer engagement</w:t>
      </w:r>
      <w:r w:rsidRPr="003B135C">
        <w:rPr>
          <w:rFonts w:hint="eastAsia"/>
          <w:sz w:val="24"/>
          <w:szCs w:val="24"/>
        </w:rPr>
        <w:t>）</w:t>
      </w:r>
      <w:r w:rsidRPr="003B135C">
        <w:rPr>
          <w:sz w:val="24"/>
          <w:szCs w:val="24"/>
        </w:rPr>
        <w:t>、</w:t>
      </w:r>
      <w:r w:rsidRPr="003B135C">
        <w:rPr>
          <w:rFonts w:hint="eastAsia"/>
          <w:sz w:val="24"/>
          <w:szCs w:val="24"/>
        </w:rPr>
        <w:t>网络广告，以及随着网络发展不断涌现的新沟通形式、广告及营销沟通效果的测定等章节。</w:t>
      </w:r>
    </w:p>
    <w:p w:rsidR="00143345" w:rsidRPr="009362DA" w:rsidRDefault="00143345" w:rsidP="00143345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3B135C">
        <w:rPr>
          <w:rFonts w:hint="eastAsia"/>
          <w:sz w:val="24"/>
          <w:szCs w:val="24"/>
        </w:rPr>
        <w:t>This</w:t>
      </w:r>
      <w:r w:rsidRPr="003B135C">
        <w:rPr>
          <w:sz w:val="24"/>
          <w:szCs w:val="24"/>
        </w:rPr>
        <w:t xml:space="preserve"> course </w:t>
      </w:r>
      <w:hyperlink r:id="rId6" w:tgtFrame="_blank" w:history="1">
        <w:r w:rsidRPr="00667316">
          <w:rPr>
            <w:rFonts w:hint="eastAsia"/>
            <w:sz w:val="24"/>
            <w:szCs w:val="24"/>
          </w:rPr>
          <w:t>dedicate</w:t>
        </w:r>
        <w:r w:rsidRPr="009362DA">
          <w:rPr>
            <w:rFonts w:hint="eastAsia"/>
            <w:sz w:val="24"/>
            <w:szCs w:val="24"/>
          </w:rPr>
          <w:t> </w:t>
        </w:r>
        <w:r w:rsidRPr="00667316">
          <w:rPr>
            <w:rFonts w:hint="eastAsia"/>
            <w:sz w:val="24"/>
            <w:szCs w:val="24"/>
          </w:rPr>
          <w:t>to</w:t>
        </w:r>
      </w:hyperlink>
      <w:r w:rsidRPr="003B135C">
        <w:rPr>
          <w:sz w:val="24"/>
          <w:szCs w:val="24"/>
        </w:rPr>
        <w:t xml:space="preserve"> the </w:t>
      </w:r>
      <w:r>
        <w:rPr>
          <w:sz w:val="24"/>
          <w:szCs w:val="24"/>
        </w:rPr>
        <w:t>20</w:t>
      </w:r>
      <w:r w:rsidRPr="009362DA">
        <w:rPr>
          <w:sz w:val="24"/>
          <w:szCs w:val="24"/>
        </w:rPr>
        <w:t>th</w:t>
      </w:r>
      <w:r>
        <w:rPr>
          <w:sz w:val="24"/>
          <w:szCs w:val="24"/>
        </w:rPr>
        <w:t xml:space="preserve"> century </w:t>
      </w:r>
      <w:r w:rsidRPr="003B135C">
        <w:rPr>
          <w:sz w:val="24"/>
          <w:szCs w:val="24"/>
        </w:rPr>
        <w:t>marketing evolution of advertising</w:t>
      </w:r>
      <w:r>
        <w:rPr>
          <w:sz w:val="24"/>
          <w:szCs w:val="24"/>
        </w:rPr>
        <w:t xml:space="preserve"> and psychology</w:t>
      </w:r>
      <w:r w:rsidRPr="003B135C">
        <w:rPr>
          <w:sz w:val="24"/>
          <w:szCs w:val="24"/>
        </w:rPr>
        <w:t xml:space="preserve"> theories</w:t>
      </w:r>
      <w:r>
        <w:rPr>
          <w:sz w:val="24"/>
          <w:szCs w:val="24"/>
        </w:rPr>
        <w:t>.</w:t>
      </w:r>
      <w:r w:rsidRPr="003B135C">
        <w:rPr>
          <w:sz w:val="24"/>
          <w:szCs w:val="24"/>
        </w:rPr>
        <w:t xml:space="preserve"> It presents </w:t>
      </w:r>
      <w:r>
        <w:rPr>
          <w:sz w:val="24"/>
          <w:szCs w:val="24"/>
        </w:rPr>
        <w:t xml:space="preserve">classic </w:t>
      </w:r>
      <w:r w:rsidRPr="003B135C">
        <w:rPr>
          <w:sz w:val="24"/>
          <w:szCs w:val="24"/>
        </w:rPr>
        <w:t xml:space="preserve">advertising thinking </w:t>
      </w:r>
      <w:r>
        <w:rPr>
          <w:sz w:val="24"/>
          <w:szCs w:val="24"/>
        </w:rPr>
        <w:t xml:space="preserve">structure and logic </w:t>
      </w:r>
      <w:r w:rsidRPr="003B135C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the glorious </w:t>
      </w:r>
      <w:r w:rsidRPr="003B135C">
        <w:rPr>
          <w:sz w:val="24"/>
          <w:szCs w:val="24"/>
        </w:rPr>
        <w:t xml:space="preserve">infrastructure </w:t>
      </w:r>
      <w:r>
        <w:rPr>
          <w:sz w:val="24"/>
          <w:szCs w:val="24"/>
        </w:rPr>
        <w:t xml:space="preserve">of </w:t>
      </w:r>
      <w:r>
        <w:rPr>
          <w:rFonts w:hint="eastAsia"/>
          <w:sz w:val="24"/>
          <w:szCs w:val="24"/>
        </w:rPr>
        <w:t xml:space="preserve">the prevailing Madison pyramid </w:t>
      </w:r>
      <w:r w:rsidRPr="003B135C">
        <w:rPr>
          <w:sz w:val="24"/>
          <w:szCs w:val="24"/>
        </w:rPr>
        <w:t xml:space="preserve">including </w:t>
      </w:r>
      <w:r w:rsidRPr="009362DA">
        <w:rPr>
          <w:sz w:val="24"/>
          <w:szCs w:val="24"/>
        </w:rPr>
        <w:t xml:space="preserve">Persuasion </w:t>
      </w:r>
      <w:r w:rsidRPr="003B135C">
        <w:rPr>
          <w:sz w:val="24"/>
          <w:szCs w:val="24"/>
        </w:rPr>
        <w:t>theories</w:t>
      </w:r>
      <w:r>
        <w:rPr>
          <w:sz w:val="24"/>
          <w:szCs w:val="24"/>
        </w:rPr>
        <w:t>，</w:t>
      </w:r>
      <w:r w:rsidRPr="009362DA">
        <w:rPr>
          <w:rFonts w:hint="eastAsia"/>
          <w:sz w:val="24"/>
          <w:szCs w:val="24"/>
        </w:rPr>
        <w:t>perceived risk theory</w:t>
      </w:r>
      <w:r w:rsidRPr="009362DA">
        <w:rPr>
          <w:rFonts w:hint="eastAsia"/>
          <w:sz w:val="24"/>
          <w:szCs w:val="24"/>
        </w:rPr>
        <w:t>，</w:t>
      </w:r>
      <w:r w:rsidRPr="009362DA">
        <w:rPr>
          <w:sz w:val="24"/>
          <w:szCs w:val="24"/>
        </w:rPr>
        <w:t>Means-end Chain</w:t>
      </w:r>
      <w:r w:rsidRPr="009362DA">
        <w:rPr>
          <w:sz w:val="24"/>
          <w:szCs w:val="24"/>
        </w:rPr>
        <w:t>，</w:t>
      </w:r>
      <w:r w:rsidRPr="009362DA">
        <w:rPr>
          <w:rFonts w:hint="eastAsia"/>
          <w:sz w:val="24"/>
          <w:szCs w:val="24"/>
        </w:rPr>
        <w:t>Dual Crisis Theory</w:t>
      </w:r>
      <w:r w:rsidRPr="009362DA">
        <w:rPr>
          <w:rFonts w:hint="eastAsia"/>
          <w:sz w:val="24"/>
          <w:szCs w:val="24"/>
        </w:rPr>
        <w:t>，</w:t>
      </w:r>
      <w:r w:rsidRPr="009362DA">
        <w:rPr>
          <w:sz w:val="24"/>
          <w:szCs w:val="24"/>
        </w:rPr>
        <w:t>Attribution Theory</w:t>
      </w:r>
      <w:r w:rsidRPr="009362DA">
        <w:rPr>
          <w:sz w:val="24"/>
          <w:szCs w:val="24"/>
        </w:rPr>
        <w:t>，</w:t>
      </w:r>
      <w:r w:rsidRPr="009362DA">
        <w:rPr>
          <w:sz w:val="24"/>
          <w:szCs w:val="24"/>
        </w:rPr>
        <w:t>Cognitive Response Approach</w:t>
      </w:r>
      <w:r w:rsidRPr="009362DA">
        <w:rPr>
          <w:sz w:val="24"/>
          <w:szCs w:val="24"/>
        </w:rPr>
        <w:t>，</w:t>
      </w:r>
      <w:r w:rsidRPr="009362DA">
        <w:rPr>
          <w:sz w:val="24"/>
          <w:szCs w:val="24"/>
        </w:rPr>
        <w:t>Culture's Consequences</w:t>
      </w:r>
      <w:r w:rsidRPr="009362DA">
        <w:rPr>
          <w:sz w:val="24"/>
          <w:szCs w:val="24"/>
        </w:rPr>
        <w:t>，</w:t>
      </w:r>
      <w:r w:rsidRPr="009362DA">
        <w:rPr>
          <w:sz w:val="24"/>
          <w:szCs w:val="24"/>
        </w:rPr>
        <w:t>Classical Condition</w:t>
      </w:r>
      <w:r w:rsidRPr="009362DA">
        <w:rPr>
          <w:sz w:val="24"/>
          <w:szCs w:val="24"/>
        </w:rPr>
        <w:t>，</w:t>
      </w:r>
      <w:r w:rsidRPr="009362DA">
        <w:rPr>
          <w:sz w:val="24"/>
          <w:szCs w:val="24"/>
        </w:rPr>
        <w:t>Elaboration Likelihood Model</w:t>
      </w:r>
      <w:r w:rsidRPr="009362DA">
        <w:rPr>
          <w:sz w:val="24"/>
          <w:szCs w:val="24"/>
        </w:rPr>
        <w:t>，</w:t>
      </w:r>
      <w:r w:rsidRPr="009362DA">
        <w:rPr>
          <w:sz w:val="24"/>
          <w:szCs w:val="24"/>
        </w:rPr>
        <w:t>engagement</w:t>
      </w:r>
      <w:r w:rsidRPr="009362DA">
        <w:rPr>
          <w:sz w:val="24"/>
          <w:szCs w:val="24"/>
        </w:rPr>
        <w:t>，</w:t>
      </w:r>
      <w:r w:rsidRPr="009362DA">
        <w:rPr>
          <w:rFonts w:hint="eastAsia"/>
          <w:sz w:val="24"/>
          <w:szCs w:val="24"/>
        </w:rPr>
        <w:t>use-satisfaction</w:t>
      </w:r>
      <w:r w:rsidRPr="009362DA">
        <w:rPr>
          <w:rFonts w:hint="eastAsia"/>
          <w:sz w:val="24"/>
          <w:szCs w:val="24"/>
        </w:rPr>
        <w:t>，</w:t>
      </w:r>
      <w:bookmarkStart w:id="0" w:name="_Toc419472918"/>
      <w:r w:rsidRPr="009362DA">
        <w:rPr>
          <w:sz w:val="24"/>
          <w:szCs w:val="24"/>
        </w:rPr>
        <w:t>Schema Theory</w:t>
      </w:r>
      <w:bookmarkEnd w:id="0"/>
      <w:r>
        <w:rPr>
          <w:sz w:val="24"/>
          <w:szCs w:val="24"/>
        </w:rPr>
        <w:t>，</w:t>
      </w:r>
      <w:r w:rsidRPr="003B135C">
        <w:rPr>
          <w:sz w:val="24"/>
          <w:szCs w:val="24"/>
        </w:rPr>
        <w:t>etc.</w:t>
      </w:r>
    </w:p>
    <w:p w:rsidR="00143345" w:rsidRPr="003B135C" w:rsidRDefault="00143345" w:rsidP="00143345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3B135C">
        <w:rPr>
          <w:rFonts w:hint="eastAsia"/>
          <w:sz w:val="24"/>
          <w:szCs w:val="24"/>
        </w:rPr>
        <w:t>This</w:t>
      </w:r>
      <w:r w:rsidRPr="003B135C">
        <w:rPr>
          <w:sz w:val="24"/>
          <w:szCs w:val="24"/>
        </w:rPr>
        <w:t xml:space="preserve"> course focuses on the marketing evolution of advertising models and communication-related theories within digital era. It presents advertising 2.0 thinking for neo-knowledge infrastructure including the Long-tail, Behavioral economics and hedonomics, the new economic </w:t>
      </w:r>
      <w:r>
        <w:rPr>
          <w:sz w:val="24"/>
          <w:szCs w:val="24"/>
        </w:rPr>
        <w:t>soci</w:t>
      </w:r>
      <w:r w:rsidRPr="003B135C">
        <w:rPr>
          <w:sz w:val="24"/>
          <w:szCs w:val="24"/>
        </w:rPr>
        <w:t>ology</w:t>
      </w:r>
      <w:r w:rsidRPr="003B135C">
        <w:rPr>
          <w:sz w:val="24"/>
          <w:szCs w:val="24"/>
        </w:rPr>
        <w:t>，</w:t>
      </w:r>
      <w:r w:rsidRPr="003B135C">
        <w:rPr>
          <w:sz w:val="24"/>
          <w:szCs w:val="24"/>
        </w:rPr>
        <w:t>business model generation</w:t>
      </w:r>
      <w:r w:rsidRPr="003B135C">
        <w:rPr>
          <w:sz w:val="24"/>
          <w:szCs w:val="24"/>
        </w:rPr>
        <w:t>，</w:t>
      </w:r>
      <w:r w:rsidRPr="003B135C">
        <w:rPr>
          <w:sz w:val="24"/>
          <w:szCs w:val="24"/>
        </w:rPr>
        <w:t>big data</w:t>
      </w:r>
      <w:r w:rsidRPr="003B135C">
        <w:rPr>
          <w:sz w:val="24"/>
          <w:szCs w:val="24"/>
        </w:rPr>
        <w:t>，</w:t>
      </w:r>
      <w:r w:rsidRPr="003B135C">
        <w:rPr>
          <w:rFonts w:hint="eastAsia"/>
          <w:sz w:val="24"/>
          <w:szCs w:val="24"/>
        </w:rPr>
        <w:t>AISAS</w:t>
      </w:r>
      <w:r w:rsidRPr="003B135C">
        <w:rPr>
          <w:sz w:val="24"/>
          <w:szCs w:val="24"/>
        </w:rPr>
        <w:t xml:space="preserve"> and SIPS consuming behavior models and SIVA model, etc. Landscapes of modern internet-developed communications and business will be illustrated to the participants for a better und</w:t>
      </w:r>
      <w:r>
        <w:rPr>
          <w:sz w:val="24"/>
          <w:szCs w:val="24"/>
        </w:rPr>
        <w:t>erstanding of advanced researching</w:t>
      </w:r>
      <w:r w:rsidRPr="003B135C">
        <w:rPr>
          <w:sz w:val="24"/>
          <w:szCs w:val="24"/>
        </w:rPr>
        <w:t>.</w:t>
      </w:r>
    </w:p>
    <w:p w:rsidR="00143345" w:rsidRPr="00143345" w:rsidRDefault="00143345" w:rsidP="003B135C">
      <w:pPr>
        <w:spacing w:line="440" w:lineRule="exact"/>
        <w:ind w:firstLineChars="200" w:firstLine="480"/>
        <w:jc w:val="left"/>
        <w:rPr>
          <w:rFonts w:hint="eastAsia"/>
          <w:sz w:val="24"/>
          <w:szCs w:val="24"/>
        </w:rPr>
      </w:pPr>
    </w:p>
    <w:p w:rsidR="009362DA" w:rsidRPr="009362DA" w:rsidRDefault="009362DA" w:rsidP="009362DA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9362DA" w:rsidRPr="009362DA" w:rsidRDefault="009362DA" w:rsidP="009362DA">
      <w:pPr>
        <w:widowControl/>
        <w:jc w:val="left"/>
        <w:rPr>
          <w:sz w:val="24"/>
          <w:szCs w:val="24"/>
        </w:rPr>
      </w:pPr>
    </w:p>
    <w:p w:rsidR="005D58C4" w:rsidRPr="005D58C4" w:rsidRDefault="005D58C4" w:rsidP="005D58C4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5D58C4" w:rsidRPr="00762913" w:rsidRDefault="005D58C4" w:rsidP="00673AFD">
      <w:pPr>
        <w:adjustRightInd w:val="0"/>
        <w:snapToGrid w:val="0"/>
        <w:spacing w:line="360" w:lineRule="auto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三</w:t>
      </w:r>
      <w:r w:rsidRPr="00762913">
        <w:rPr>
          <w:rFonts w:ascii="黑体" w:eastAsia="黑体" w:cs="宋体" w:hint="eastAsia"/>
          <w:color w:val="000000"/>
          <w:szCs w:val="20"/>
        </w:rPr>
        <w:t>、教学内容</w:t>
      </w:r>
      <w:r w:rsidRPr="00762913">
        <w:rPr>
          <w:rFonts w:ascii="黑体" w:eastAsia="黑体" w:cs="宋体"/>
          <w:color w:val="000000"/>
          <w:szCs w:val="20"/>
        </w:rPr>
        <w:t> </w:t>
      </w:r>
      <w:r w:rsidRPr="00762913">
        <w:rPr>
          <w:rFonts w:ascii="黑体" w:eastAsia="黑体" w:cs="宋体" w:hint="eastAsia"/>
          <w:color w:val="000000"/>
          <w:szCs w:val="20"/>
        </w:rPr>
        <w:t>（章节及学时分配等）</w:t>
      </w:r>
    </w:p>
    <w:p w:rsidR="009362DA" w:rsidRPr="003B135C" w:rsidRDefault="009362DA" w:rsidP="009F5573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广告学建立在心理学、营销学、传播学、社会学的经典理论基石之上</w:t>
      </w:r>
      <w:r w:rsidR="005D58C4" w:rsidRPr="005D58C4">
        <w:rPr>
          <w:rFonts w:hint="eastAsia"/>
          <w:sz w:val="24"/>
          <w:szCs w:val="24"/>
        </w:rPr>
        <w:t>，并且随着</w:t>
      </w:r>
      <w:r>
        <w:rPr>
          <w:rFonts w:hint="eastAsia"/>
          <w:sz w:val="24"/>
          <w:szCs w:val="24"/>
        </w:rPr>
        <w:t>营销革命</w:t>
      </w:r>
      <w:r w:rsidR="005D58C4" w:rsidRPr="005D58C4">
        <w:rPr>
          <w:rFonts w:hint="eastAsia"/>
          <w:sz w:val="24"/>
          <w:szCs w:val="24"/>
        </w:rPr>
        <w:t>和广告业自身的发展而将不断有新的研究</w:t>
      </w:r>
      <w:r w:rsidR="005D58C4" w:rsidRPr="009362DA">
        <w:rPr>
          <w:rFonts w:hint="eastAsia"/>
          <w:sz w:val="24"/>
          <w:szCs w:val="24"/>
        </w:rPr>
        <w:t>题目</w:t>
      </w:r>
      <w:r w:rsidR="005D58C4" w:rsidRPr="005D58C4">
        <w:rPr>
          <w:rFonts w:hint="eastAsia"/>
          <w:sz w:val="24"/>
          <w:szCs w:val="24"/>
        </w:rPr>
        <w:t>出现。为了介绍的方便，我们将</w:t>
      </w:r>
      <w:r>
        <w:rPr>
          <w:rFonts w:hint="eastAsia"/>
          <w:sz w:val="24"/>
          <w:szCs w:val="24"/>
        </w:rPr>
        <w:t>２０</w:t>
      </w:r>
      <w:r w:rsidR="005D58C4" w:rsidRPr="005D58C4">
        <w:rPr>
          <w:rFonts w:hint="eastAsia"/>
          <w:sz w:val="24"/>
          <w:szCs w:val="24"/>
        </w:rPr>
        <w:t>世纪前沿的广告理论与模型整理后进行授课：</w:t>
      </w:r>
      <w:r w:rsidR="005D58C4" w:rsidRPr="005D58C4">
        <w:rPr>
          <w:sz w:val="24"/>
          <w:szCs w:val="24"/>
        </w:rPr>
        <w:t>本课程内容包括了</w:t>
      </w:r>
      <w:r w:rsidRPr="003B135C">
        <w:rPr>
          <w:sz w:val="24"/>
          <w:szCs w:val="24"/>
        </w:rPr>
        <w:t>内容包括了</w:t>
      </w:r>
      <w:r>
        <w:rPr>
          <w:sz w:val="24"/>
          <w:szCs w:val="24"/>
        </w:rPr>
        <w:t>认知反应理论、来源可信理论、古典条件理论、一致性理论、平衡理论、归因理论、感知风险理论、参与度理论、使用满足理论、手段目的理论、图示理论、信息处理理论、双重模式理论等</w:t>
      </w:r>
      <w:r w:rsidRPr="003B135C">
        <w:rPr>
          <w:rFonts w:hint="eastAsia"/>
          <w:sz w:val="24"/>
          <w:szCs w:val="24"/>
        </w:rPr>
        <w:t>章节。</w:t>
      </w:r>
    </w:p>
    <w:p w:rsidR="00143345" w:rsidRDefault="00143345" w:rsidP="00143345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在许多</w:t>
      </w:r>
      <w:r w:rsidRPr="005D58C4">
        <w:rPr>
          <w:rFonts w:hint="eastAsia"/>
          <w:sz w:val="24"/>
          <w:szCs w:val="24"/>
        </w:rPr>
        <w:t>领域涉及主题已经超出传统广告学范畴，并且随着网络技术和广告</w:t>
      </w:r>
      <w:r w:rsidRPr="005D58C4">
        <w:rPr>
          <w:rFonts w:hint="eastAsia"/>
          <w:sz w:val="24"/>
          <w:szCs w:val="24"/>
        </w:rPr>
        <w:lastRenderedPageBreak/>
        <w:t>业自身的发展而将不断有新的研究</w:t>
      </w:r>
      <w:r w:rsidRPr="005D58C4">
        <w:rPr>
          <w:rFonts w:hint="eastAsia"/>
        </w:rPr>
        <w:t>题目</w:t>
      </w:r>
      <w:r w:rsidRPr="005D58C4">
        <w:rPr>
          <w:rFonts w:hint="eastAsia"/>
          <w:sz w:val="24"/>
          <w:szCs w:val="24"/>
        </w:rPr>
        <w:t>出现并得到关注。为了介绍的方便，我们将</w:t>
      </w:r>
      <w:r w:rsidRPr="005D58C4">
        <w:rPr>
          <w:rFonts w:hint="eastAsia"/>
          <w:sz w:val="24"/>
          <w:szCs w:val="24"/>
        </w:rPr>
        <w:t>21</w:t>
      </w:r>
      <w:r w:rsidRPr="005D58C4">
        <w:rPr>
          <w:rFonts w:hint="eastAsia"/>
          <w:sz w:val="24"/>
          <w:szCs w:val="24"/>
        </w:rPr>
        <w:t>世纪前沿的广告理论与模型整理后进行授课：</w:t>
      </w:r>
    </w:p>
    <w:p w:rsidR="00143345" w:rsidRPr="005D58C4" w:rsidRDefault="00143345" w:rsidP="00143345">
      <w:pPr>
        <w:rPr>
          <w:sz w:val="24"/>
          <w:szCs w:val="24"/>
        </w:rPr>
      </w:pPr>
    </w:p>
    <w:p w:rsidR="00143345" w:rsidRPr="005D58C4" w:rsidRDefault="00143345" w:rsidP="00143345">
      <w:pPr>
        <w:spacing w:line="440" w:lineRule="exact"/>
        <w:ind w:firstLineChars="200" w:firstLine="480"/>
        <w:jc w:val="left"/>
        <w:rPr>
          <w:sz w:val="24"/>
          <w:szCs w:val="24"/>
        </w:rPr>
      </w:pPr>
      <w:r w:rsidRPr="005D58C4">
        <w:rPr>
          <w:sz w:val="24"/>
          <w:szCs w:val="24"/>
        </w:rPr>
        <w:t>本课程内容包括了西方研究方法、长尾理论、广告心理与消费行为理论、行为经济学与幸福理论、百</w:t>
      </w:r>
      <w:r w:rsidRPr="005D58C4">
        <w:t>度</w:t>
      </w:r>
      <w:r w:rsidRPr="005D58C4">
        <w:rPr>
          <w:sz w:val="24"/>
          <w:szCs w:val="24"/>
        </w:rPr>
        <w:t>SIVA</w:t>
      </w:r>
      <w:r w:rsidRPr="005D58C4">
        <w:rPr>
          <w:sz w:val="24"/>
          <w:szCs w:val="24"/>
        </w:rPr>
        <w:t>理论与</w:t>
      </w:r>
      <w:r w:rsidRPr="005D58C4">
        <w:rPr>
          <w:sz w:val="24"/>
          <w:szCs w:val="24"/>
        </w:rPr>
        <w:t>moment</w:t>
      </w:r>
      <w:r w:rsidRPr="005D58C4">
        <w:rPr>
          <w:sz w:val="24"/>
          <w:szCs w:val="24"/>
        </w:rPr>
        <w:t>模型、电通</w:t>
      </w:r>
      <w:r w:rsidRPr="005D58C4">
        <w:rPr>
          <w:sz w:val="24"/>
          <w:szCs w:val="24"/>
        </w:rPr>
        <w:t>AISAS</w:t>
      </w:r>
      <w:r w:rsidRPr="005D58C4">
        <w:rPr>
          <w:sz w:val="24"/>
          <w:szCs w:val="24"/>
        </w:rPr>
        <w:t>与</w:t>
      </w:r>
      <w:r w:rsidRPr="005D58C4">
        <w:rPr>
          <w:sz w:val="24"/>
          <w:szCs w:val="24"/>
        </w:rPr>
        <w:t>SIPS</w:t>
      </w:r>
      <w:r w:rsidRPr="005D58C4">
        <w:rPr>
          <w:sz w:val="24"/>
          <w:szCs w:val="24"/>
        </w:rPr>
        <w:t>模型、商业模式新生代、新传播的营销价值、数字营销市场数据资源、大数据理论、</w:t>
      </w:r>
      <w:r w:rsidRPr="005D58C4">
        <w:rPr>
          <w:rFonts w:hint="eastAsia"/>
          <w:sz w:val="24"/>
          <w:szCs w:val="24"/>
        </w:rPr>
        <w:t>消费者参与（</w:t>
      </w:r>
      <w:r w:rsidRPr="005D58C4">
        <w:rPr>
          <w:rFonts w:hint="eastAsia"/>
          <w:sz w:val="24"/>
          <w:szCs w:val="24"/>
        </w:rPr>
        <w:t>consumer engagement</w:t>
      </w:r>
      <w:r w:rsidRPr="005D58C4">
        <w:rPr>
          <w:rFonts w:hint="eastAsia"/>
          <w:sz w:val="24"/>
          <w:szCs w:val="24"/>
        </w:rPr>
        <w:t>）</w:t>
      </w:r>
      <w:r w:rsidRPr="005D58C4">
        <w:rPr>
          <w:sz w:val="24"/>
          <w:szCs w:val="24"/>
        </w:rPr>
        <w:t>、</w:t>
      </w:r>
      <w:r w:rsidRPr="005D58C4">
        <w:rPr>
          <w:rFonts w:hint="eastAsia"/>
          <w:sz w:val="24"/>
          <w:szCs w:val="24"/>
        </w:rPr>
        <w:t>网络广告，以及随着网络发展不断涌现的新沟通形式、广告及营销沟通效果的测定等章节。</w:t>
      </w:r>
    </w:p>
    <w:p w:rsidR="005D58C4" w:rsidRPr="00143345" w:rsidRDefault="005D58C4" w:rsidP="00673AFD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:rsidR="005D58C4" w:rsidRPr="005D58C4" w:rsidRDefault="005D58C4" w:rsidP="005D58C4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5D58C4" w:rsidRPr="00762913" w:rsidRDefault="005D58C4" w:rsidP="00673AFD">
      <w:pPr>
        <w:adjustRightInd w:val="0"/>
        <w:snapToGrid w:val="0"/>
        <w:spacing w:line="360" w:lineRule="auto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四、</w:t>
      </w:r>
      <w:r w:rsidRPr="00762913">
        <w:rPr>
          <w:rFonts w:ascii="黑体" w:eastAsia="黑体" w:cs="宋体" w:hint="eastAsia"/>
          <w:color w:val="000000"/>
          <w:szCs w:val="20"/>
        </w:rPr>
        <w:t>教学方法</w:t>
      </w:r>
    </w:p>
    <w:p w:rsidR="00143345" w:rsidRPr="00CD62FA" w:rsidRDefault="00143345" w:rsidP="00143345">
      <w:pPr>
        <w:spacing w:line="440" w:lineRule="exact"/>
        <w:ind w:firstLineChars="200" w:firstLine="480"/>
        <w:jc w:val="left"/>
      </w:pPr>
      <w:r w:rsidRPr="005D58C4">
        <w:rPr>
          <w:rFonts w:hint="eastAsia"/>
          <w:sz w:val="24"/>
          <w:szCs w:val="24"/>
        </w:rPr>
        <w:t>《广告理论与模型》</w:t>
      </w:r>
      <w:r w:rsidRPr="00CD62FA">
        <w:rPr>
          <w:rFonts w:hint="eastAsia"/>
        </w:rPr>
        <w:t>课程的教学方法主要包括：</w:t>
      </w:r>
    </w:p>
    <w:p w:rsidR="00143345" w:rsidRPr="00CD62FA" w:rsidRDefault="00143345" w:rsidP="00143345">
      <w:pPr>
        <w:spacing w:line="440" w:lineRule="exact"/>
        <w:jc w:val="left"/>
      </w:pPr>
      <w:r w:rsidRPr="00CD62FA">
        <w:rPr>
          <w:rFonts w:hint="eastAsia"/>
        </w:rPr>
        <w:t xml:space="preserve">1. </w:t>
      </w:r>
      <w:r w:rsidRPr="00CD62FA">
        <w:rPr>
          <w:rFonts w:hint="eastAsia"/>
        </w:rPr>
        <w:t>理论</w:t>
      </w:r>
      <w:r w:rsidRPr="005D58C4">
        <w:rPr>
          <w:rFonts w:hint="eastAsia"/>
          <w:sz w:val="24"/>
          <w:szCs w:val="24"/>
        </w:rPr>
        <w:t>讲授</w:t>
      </w:r>
      <w:r w:rsidRPr="00CD62FA">
        <w:rPr>
          <w:rFonts w:hint="eastAsia"/>
        </w:rPr>
        <w:t>：</w:t>
      </w:r>
      <w:r w:rsidRPr="00CD62FA">
        <w:t>采用精心制作的课件，</w:t>
      </w:r>
      <w:r w:rsidRPr="00CD62FA">
        <w:rPr>
          <w:rFonts w:hint="eastAsia"/>
        </w:rPr>
        <w:t>对《</w:t>
      </w:r>
      <w:r>
        <w:rPr>
          <w:rFonts w:hint="eastAsia"/>
        </w:rPr>
        <w:t>前沿广告传播理论与模型</w:t>
      </w:r>
      <w:r w:rsidRPr="00CD62FA">
        <w:rPr>
          <w:rFonts w:hint="eastAsia"/>
        </w:rPr>
        <w:t>》课程中的重要概念、模型与理论的</w:t>
      </w:r>
      <w:r w:rsidRPr="005D58C4">
        <w:rPr>
          <w:rFonts w:hint="eastAsia"/>
          <w:sz w:val="24"/>
          <w:szCs w:val="24"/>
        </w:rPr>
        <w:t>讲授</w:t>
      </w:r>
      <w:r w:rsidRPr="00CD62FA">
        <w:rPr>
          <w:rFonts w:hint="eastAsia"/>
        </w:rPr>
        <w:t>，让学生得以</w:t>
      </w:r>
      <w:r w:rsidRPr="005D58C4">
        <w:rPr>
          <w:rFonts w:hint="eastAsia"/>
          <w:sz w:val="24"/>
          <w:szCs w:val="24"/>
        </w:rPr>
        <w:t>接触</w:t>
      </w:r>
      <w:r w:rsidRPr="00CD62FA">
        <w:rPr>
          <w:rFonts w:hint="eastAsia"/>
        </w:rPr>
        <w:t>和掌握课程中主要的专业术语，便于学生以后阅读和撰写专业文献。在讲授中运用丰富的事例说明和佐证相关理论，引发学生对本专业领域的兴趣以及促进学生</w:t>
      </w:r>
      <w:r w:rsidRPr="005D58C4">
        <w:rPr>
          <w:rFonts w:hint="eastAsia"/>
          <w:sz w:val="24"/>
          <w:szCs w:val="24"/>
        </w:rPr>
        <w:t>主动</w:t>
      </w:r>
      <w:r w:rsidRPr="00CD62FA">
        <w:rPr>
          <w:rFonts w:hint="eastAsia"/>
        </w:rPr>
        <w:t>思考。</w:t>
      </w:r>
    </w:p>
    <w:p w:rsidR="00143345" w:rsidRPr="00CD62FA" w:rsidRDefault="00143345" w:rsidP="00143345">
      <w:pPr>
        <w:spacing w:line="440" w:lineRule="exact"/>
        <w:jc w:val="left"/>
      </w:pPr>
      <w:r w:rsidRPr="00CD62FA">
        <w:rPr>
          <w:rFonts w:hint="eastAsia"/>
        </w:rPr>
        <w:t xml:space="preserve">2. </w:t>
      </w:r>
      <w:r w:rsidRPr="00CD62FA">
        <w:rPr>
          <w:rFonts w:hint="eastAsia"/>
        </w:rPr>
        <w:t>案例教学：本课程还采用案例教学的方法。在课堂上使用</w:t>
      </w:r>
      <w:r>
        <w:rPr>
          <w:rFonts w:hint="eastAsia"/>
        </w:rPr>
        <w:t>沃顿商学院未来广告研究中心研究案例及</w:t>
      </w:r>
      <w:r>
        <w:rPr>
          <w:rFonts w:hint="eastAsia"/>
        </w:rPr>
        <w:t>CNNIC</w:t>
      </w:r>
      <w:r>
        <w:rPr>
          <w:rFonts w:hint="eastAsia"/>
        </w:rPr>
        <w:t>中国互联网研究中心研究</w:t>
      </w:r>
      <w:r w:rsidRPr="00CD62FA">
        <w:rPr>
          <w:rFonts w:hint="eastAsia"/>
        </w:rPr>
        <w:t>案例，通过学生课下案例阅读、小组讨论以及班级讨论、教师点评等环节，加深学生对课程内容的理解和理论应用的掌握和认识。</w:t>
      </w:r>
    </w:p>
    <w:p w:rsidR="005D58C4" w:rsidRPr="00143345" w:rsidRDefault="005D58C4" w:rsidP="005D58C4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5D58C4" w:rsidRPr="00762913" w:rsidRDefault="005D58C4" w:rsidP="00673AFD">
      <w:pPr>
        <w:adjustRightInd w:val="0"/>
        <w:snapToGrid w:val="0"/>
        <w:spacing w:line="360" w:lineRule="auto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五、</w:t>
      </w:r>
      <w:r w:rsidRPr="00762913">
        <w:rPr>
          <w:rFonts w:ascii="黑体" w:eastAsia="黑体" w:cs="宋体" w:hint="eastAsia"/>
          <w:color w:val="000000"/>
          <w:szCs w:val="20"/>
        </w:rPr>
        <w:t>考核</w:t>
      </w:r>
      <w:r>
        <w:rPr>
          <w:rFonts w:ascii="黑体" w:eastAsia="黑体" w:cs="宋体" w:hint="eastAsia"/>
          <w:color w:val="000000"/>
          <w:szCs w:val="20"/>
        </w:rPr>
        <w:t>办法</w:t>
      </w:r>
    </w:p>
    <w:p w:rsidR="005D58C4" w:rsidRDefault="005D58C4" w:rsidP="00673AFD">
      <w:pPr>
        <w:spacing w:line="440" w:lineRule="exact"/>
      </w:pPr>
      <w:r w:rsidRPr="00444DD1">
        <w:t>本课程在学生学习效果考核方式上</w:t>
      </w:r>
      <w:r>
        <w:rPr>
          <w:rFonts w:hint="eastAsia"/>
        </w:rPr>
        <w:t>着重</w:t>
      </w:r>
      <w:r w:rsidRPr="00444DD1">
        <w:t>强调三点</w:t>
      </w:r>
      <w:r w:rsidRPr="00444DD1">
        <w:rPr>
          <w:rFonts w:hint="eastAsia"/>
        </w:rPr>
        <w:t>：</w:t>
      </w:r>
    </w:p>
    <w:p w:rsidR="005D58C4" w:rsidRDefault="005D58C4" w:rsidP="00673AFD">
      <w:pPr>
        <w:spacing w:line="440" w:lineRule="exact"/>
      </w:pPr>
      <w:r w:rsidRPr="00444DD1">
        <w:t>一是强调</w:t>
      </w:r>
      <w:r>
        <w:rPr>
          <w:rFonts w:hint="eastAsia"/>
        </w:rPr>
        <w:t>“</w:t>
      </w:r>
      <w:r w:rsidRPr="00444DD1">
        <w:t>以对团队的考核为主、对个人的考核为辅</w:t>
      </w:r>
      <w:r>
        <w:rPr>
          <w:rFonts w:hint="eastAsia"/>
        </w:rPr>
        <w:t>”</w:t>
      </w:r>
      <w:r w:rsidRPr="00444DD1">
        <w:t>，重点考核各团队在案例讨论、项目训练、采访典型企业课堂汇报中的表现，其次考核每个同学在团队活动中的贡献。</w:t>
      </w:r>
    </w:p>
    <w:p w:rsidR="005D58C4" w:rsidRDefault="005D58C4" w:rsidP="00673AFD">
      <w:pPr>
        <w:spacing w:line="440" w:lineRule="exact"/>
      </w:pPr>
      <w:r w:rsidRPr="00444DD1">
        <w:t>二是强调</w:t>
      </w:r>
      <w:r>
        <w:rPr>
          <w:rFonts w:hint="eastAsia"/>
        </w:rPr>
        <w:t>“广告与营销传播理论”</w:t>
      </w:r>
      <w:r>
        <w:t>，期末学生以组为单位</w:t>
      </w:r>
      <w:r>
        <w:rPr>
          <w:rFonts w:hint="eastAsia"/>
        </w:rPr>
        <w:t>，针对研究主题进行“结构方法分析”，提交论文大纲</w:t>
      </w:r>
      <w:r w:rsidRPr="00444DD1">
        <w:rPr>
          <w:rFonts w:hint="eastAsia"/>
        </w:rPr>
        <w:t>：</w:t>
      </w:r>
    </w:p>
    <w:p w:rsidR="005D58C4" w:rsidRDefault="005D58C4" w:rsidP="00673AFD">
      <w:pPr>
        <w:spacing w:line="440" w:lineRule="exact"/>
      </w:pPr>
      <w:r>
        <w:rPr>
          <w:rFonts w:hint="eastAsia"/>
        </w:rPr>
        <w:t>1</w:t>
      </w:r>
      <w:r>
        <w:rPr>
          <w:rFonts w:hint="eastAsia"/>
        </w:rPr>
        <w:t>．研究论文</w:t>
      </w:r>
      <w:r>
        <w:rPr>
          <w:rFonts w:hint="eastAsia"/>
        </w:rPr>
        <w:t>panel</w:t>
      </w:r>
      <w:r w:rsidRPr="00444DD1">
        <w:rPr>
          <w:rFonts w:hint="eastAsia"/>
        </w:rPr>
        <w:t>（</w:t>
      </w:r>
      <w:r>
        <w:rPr>
          <w:rFonts w:hint="eastAsia"/>
        </w:rPr>
        <w:t>5</w:t>
      </w:r>
      <w:r w:rsidRPr="00444DD1">
        <w:rPr>
          <w:rFonts w:hint="eastAsia"/>
        </w:rPr>
        <w:t>0%</w:t>
      </w:r>
      <w:r>
        <w:rPr>
          <w:rFonts w:hint="eastAsia"/>
        </w:rPr>
        <w:t>）：要求学生个人完成，</w:t>
      </w:r>
      <w:r>
        <w:rPr>
          <w:rFonts w:hint="eastAsia"/>
          <w:iCs/>
          <w:szCs w:val="21"/>
          <w:lang w:val="en-GB"/>
        </w:rPr>
        <w:t>利用所学的广告与营销传播理论、框架、模型和工具，对</w:t>
      </w:r>
      <w:r w:rsidR="00143345">
        <w:rPr>
          <w:rFonts w:hint="eastAsia"/>
          <w:iCs/>
          <w:szCs w:val="21"/>
          <w:lang w:val="en-GB"/>
        </w:rPr>
        <w:t>大四学位论文</w:t>
      </w:r>
      <w:r>
        <w:rPr>
          <w:rFonts w:hint="eastAsia"/>
          <w:iCs/>
          <w:szCs w:val="21"/>
          <w:lang w:val="en-GB"/>
        </w:rPr>
        <w:t>问题进行分析，并给出解决方案</w:t>
      </w:r>
      <w:r w:rsidRPr="00444DD1">
        <w:rPr>
          <w:rFonts w:hint="eastAsia"/>
        </w:rPr>
        <w:t>。</w:t>
      </w:r>
    </w:p>
    <w:p w:rsidR="005D58C4" w:rsidRDefault="005D58C4" w:rsidP="00673AFD">
      <w:pPr>
        <w:spacing w:line="440" w:lineRule="exact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444DD1">
        <w:rPr>
          <w:rFonts w:hint="eastAsia"/>
        </w:rPr>
        <w:t>课程参与贡献（</w:t>
      </w:r>
      <w:r>
        <w:rPr>
          <w:rFonts w:hint="eastAsia"/>
        </w:rPr>
        <w:t>30</w:t>
      </w:r>
      <w:r w:rsidRPr="00444DD1">
        <w:rPr>
          <w:rFonts w:hint="eastAsia"/>
        </w:rPr>
        <w:t>%</w:t>
      </w:r>
      <w:r w:rsidRPr="00444DD1">
        <w:rPr>
          <w:rFonts w:hint="eastAsia"/>
        </w:rPr>
        <w:t>）：学生应积极参与课堂讨论，助教将协助教师记录课堂讨论中每位同学的发言，根据课堂发言的质量</w:t>
      </w:r>
      <w:r w:rsidRPr="005D58C4">
        <w:rPr>
          <w:rFonts w:hint="eastAsia"/>
          <w:iCs/>
          <w:szCs w:val="21"/>
          <w:lang w:val="en-GB"/>
        </w:rPr>
        <w:t>和</w:t>
      </w:r>
      <w:r w:rsidRPr="00444DD1">
        <w:rPr>
          <w:rFonts w:hint="eastAsia"/>
        </w:rPr>
        <w:t>次数，评估每位同学的贡献。</w:t>
      </w:r>
    </w:p>
    <w:p w:rsidR="005D58C4" w:rsidRDefault="005D58C4" w:rsidP="00673AFD">
      <w:pPr>
        <w:spacing w:line="440" w:lineRule="exact"/>
      </w:pPr>
      <w:r>
        <w:t>3</w:t>
      </w:r>
      <w:r>
        <w:rPr>
          <w:rFonts w:hint="eastAsia"/>
        </w:rPr>
        <w:t>．</w:t>
      </w:r>
      <w:r w:rsidRPr="00444DD1">
        <w:rPr>
          <w:rFonts w:hint="eastAsia"/>
        </w:rPr>
        <w:t>出勤（</w:t>
      </w:r>
      <w:r>
        <w:rPr>
          <w:rFonts w:hint="eastAsia"/>
        </w:rPr>
        <w:t>20</w:t>
      </w:r>
      <w:r w:rsidRPr="00444DD1">
        <w:rPr>
          <w:rFonts w:hint="eastAsia"/>
        </w:rPr>
        <w:t>%</w:t>
      </w:r>
      <w:r w:rsidRPr="00444DD1">
        <w:rPr>
          <w:rFonts w:hint="eastAsia"/>
        </w:rPr>
        <w:t>）：旷课每次扣</w:t>
      </w:r>
      <w:r w:rsidRPr="00444DD1">
        <w:rPr>
          <w:rFonts w:hint="eastAsia"/>
        </w:rPr>
        <w:t>2</w:t>
      </w:r>
      <w:r w:rsidRPr="00444DD1">
        <w:rPr>
          <w:rFonts w:hint="eastAsia"/>
        </w:rPr>
        <w:t>分。缺课超过本课程总学时</w:t>
      </w:r>
      <w:r w:rsidRPr="00444DD1">
        <w:rPr>
          <w:rFonts w:hint="eastAsia"/>
        </w:rPr>
        <w:t>1/3</w:t>
      </w:r>
      <w:r w:rsidRPr="00444DD1">
        <w:rPr>
          <w:rFonts w:hint="eastAsia"/>
        </w:rPr>
        <w:t>者，不得参加本课程的考试，应重修本课程。学生应严格遵守《上海外国语大学</w:t>
      </w:r>
      <w:r>
        <w:rPr>
          <w:rFonts w:hint="eastAsia"/>
        </w:rPr>
        <w:t>研究生</w:t>
      </w:r>
      <w:r w:rsidRPr="00444DD1">
        <w:rPr>
          <w:rFonts w:hint="eastAsia"/>
        </w:rPr>
        <w:t>课堂行为规范》。</w:t>
      </w:r>
    </w:p>
    <w:p w:rsidR="005D58C4" w:rsidRPr="007165C2" w:rsidRDefault="005D58C4" w:rsidP="005D58C4">
      <w:pPr>
        <w:spacing w:line="440" w:lineRule="exact"/>
        <w:ind w:firstLineChars="200" w:firstLine="420"/>
        <w:rPr>
          <w:rFonts w:ascii="宋体" w:hAnsi="宋体" w:cs="宋体"/>
          <w:color w:val="000000"/>
        </w:rPr>
      </w:pPr>
    </w:p>
    <w:p w:rsidR="005D58C4" w:rsidRPr="00762913" w:rsidRDefault="005D58C4" w:rsidP="00673AFD">
      <w:pPr>
        <w:adjustRightInd w:val="0"/>
        <w:snapToGrid w:val="0"/>
        <w:spacing w:line="360" w:lineRule="auto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六</w:t>
      </w:r>
      <w:r w:rsidRPr="00762913">
        <w:rPr>
          <w:rFonts w:ascii="黑体" w:eastAsia="黑体" w:cs="宋体" w:hint="eastAsia"/>
          <w:color w:val="000000"/>
          <w:szCs w:val="20"/>
        </w:rPr>
        <w:t>、使用教材</w:t>
      </w:r>
    </w:p>
    <w:p w:rsidR="008D576B" w:rsidRDefault="008D576B" w:rsidP="00673AFD">
      <w:pPr>
        <w:adjustRightInd w:val="0"/>
        <w:snapToGrid w:val="0"/>
        <w:spacing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温德，《广告的未来》，中国经济出版社，2020.1</w:t>
      </w:r>
    </w:p>
    <w:p w:rsidR="00DA2F1D" w:rsidRDefault="00DA2F1D" w:rsidP="00673AFD">
      <w:pPr>
        <w:adjustRightInd w:val="0"/>
        <w:snapToGrid w:val="0"/>
        <w:spacing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吴予敏，《广告学研究专题导引》，高等教育出版社，2015.2</w:t>
      </w:r>
    </w:p>
    <w:p w:rsidR="005D58C4" w:rsidRDefault="00744D8D" w:rsidP="00673AFD">
      <w:pPr>
        <w:adjustRightInd w:val="0"/>
        <w:snapToGrid w:val="0"/>
        <w:spacing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张金海</w:t>
      </w:r>
      <w:r w:rsidR="005D58C4">
        <w:rPr>
          <w:rFonts w:ascii="宋体" w:hAnsi="宋体" w:cs="宋体"/>
          <w:color w:val="000000"/>
        </w:rPr>
        <w:t>，《</w:t>
      </w:r>
      <w:r>
        <w:rPr>
          <w:rFonts w:ascii="宋体" w:hAnsi="宋体" w:cs="宋体"/>
          <w:color w:val="000000"/>
        </w:rPr>
        <w:t>2０</w:t>
      </w:r>
      <w:r w:rsidR="005D58C4">
        <w:rPr>
          <w:rFonts w:ascii="宋体" w:hAnsi="宋体" w:cs="宋体"/>
          <w:color w:val="000000"/>
        </w:rPr>
        <w:t>世纪广告与营销传播理论》，</w:t>
      </w:r>
      <w:r>
        <w:rPr>
          <w:rFonts w:ascii="宋体" w:hAnsi="宋体" w:cs="宋体"/>
          <w:color w:val="000000"/>
        </w:rPr>
        <w:t>武汉大学出版社，</w:t>
      </w:r>
      <w:r w:rsidR="00143345">
        <w:rPr>
          <w:rFonts w:ascii="宋体" w:hAnsi="宋体" w:cs="宋体" w:hint="eastAsia"/>
          <w:color w:val="000000"/>
        </w:rPr>
        <w:t>2001</w:t>
      </w:r>
    </w:p>
    <w:p w:rsidR="003F2C48" w:rsidRDefault="003F2C48" w:rsidP="003F2C48">
      <w:pPr>
        <w:adjustRightInd w:val="0"/>
        <w:snapToGrid w:val="0"/>
        <w:spacing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顾明毅，《中国网民社交媒体传播需求研究》，世界图文出版社，2014.9</w:t>
      </w:r>
    </w:p>
    <w:p w:rsidR="003F2C48" w:rsidRDefault="003F2C48" w:rsidP="003F2C48">
      <w:pPr>
        <w:adjustRightInd w:val="0"/>
        <w:snapToGrid w:val="0"/>
        <w:spacing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刘</w:t>
      </w:r>
      <w:r>
        <w:rPr>
          <w:rFonts w:ascii="宋体" w:hAnsi="宋体" w:cs="宋体"/>
          <w:color w:val="000000"/>
        </w:rPr>
        <w:t>鹏，《计算广告学》，中国工信出版社，201</w:t>
      </w:r>
      <w:r>
        <w:rPr>
          <w:rFonts w:ascii="宋体" w:hAnsi="宋体" w:cs="宋体" w:hint="eastAsia"/>
          <w:color w:val="000000"/>
        </w:rPr>
        <w:t>9</w:t>
      </w:r>
      <w:r>
        <w:rPr>
          <w:rFonts w:ascii="宋体" w:hAnsi="宋体" w:cs="宋体"/>
          <w:color w:val="000000"/>
        </w:rPr>
        <w:t>.</w:t>
      </w:r>
      <w:r>
        <w:rPr>
          <w:rFonts w:ascii="宋体" w:hAnsi="宋体" w:cs="宋体" w:hint="eastAsia"/>
          <w:color w:val="000000"/>
        </w:rPr>
        <w:t>7</w:t>
      </w:r>
    </w:p>
    <w:p w:rsidR="003F2C48" w:rsidRPr="007165C2" w:rsidRDefault="003F2C48" w:rsidP="003F2C48">
      <w:pPr>
        <w:adjustRightInd w:val="0"/>
        <w:snapToGrid w:val="0"/>
        <w:spacing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课题组，《21世纪广告与营销传播理论》，自编</w:t>
      </w:r>
      <w:r>
        <w:rPr>
          <w:rFonts w:ascii="宋体" w:hAnsi="宋体" w:cs="宋体" w:hint="eastAsia"/>
          <w:color w:val="000000"/>
        </w:rPr>
        <w:t>教</w:t>
      </w:r>
      <w:bookmarkStart w:id="1" w:name="_GoBack"/>
      <w:bookmarkEnd w:id="1"/>
      <w:r>
        <w:rPr>
          <w:rFonts w:ascii="宋体" w:hAnsi="宋体" w:cs="宋体"/>
          <w:color w:val="000000"/>
        </w:rPr>
        <w:t>程。</w:t>
      </w:r>
    </w:p>
    <w:p w:rsidR="003F2C48" w:rsidRPr="003F2C48" w:rsidRDefault="003F2C48" w:rsidP="00673AFD">
      <w:pPr>
        <w:adjustRightInd w:val="0"/>
        <w:snapToGrid w:val="0"/>
        <w:spacing w:line="360" w:lineRule="auto"/>
        <w:rPr>
          <w:rFonts w:ascii="宋体" w:hAnsi="宋体" w:cs="宋体" w:hint="eastAsia"/>
          <w:color w:val="000000"/>
        </w:rPr>
      </w:pPr>
    </w:p>
    <w:p w:rsidR="00673AFD" w:rsidRPr="00744D8D" w:rsidRDefault="00673AFD" w:rsidP="00673AFD">
      <w:pPr>
        <w:adjustRightInd w:val="0"/>
        <w:snapToGrid w:val="0"/>
        <w:spacing w:line="360" w:lineRule="auto"/>
        <w:rPr>
          <w:rFonts w:ascii="黑体" w:eastAsia="黑体" w:cs="宋体"/>
          <w:color w:val="000000"/>
          <w:szCs w:val="20"/>
        </w:rPr>
      </w:pPr>
    </w:p>
    <w:p w:rsidR="005D58C4" w:rsidRDefault="005D58C4" w:rsidP="00673AFD">
      <w:pPr>
        <w:adjustRightInd w:val="0"/>
        <w:snapToGrid w:val="0"/>
        <w:spacing w:line="360" w:lineRule="auto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七、</w:t>
      </w:r>
      <w:r w:rsidRPr="00762913">
        <w:rPr>
          <w:rFonts w:ascii="黑体" w:eastAsia="黑体" w:cs="宋体" w:hint="eastAsia"/>
          <w:color w:val="000000"/>
          <w:szCs w:val="20"/>
        </w:rPr>
        <w:t>参考文献</w:t>
      </w:r>
    </w:p>
    <w:p w:rsidR="005D58C4" w:rsidRDefault="005D58C4" w:rsidP="00673AFD">
      <w:pPr>
        <w:adjustRightInd w:val="0"/>
        <w:snapToGrid w:val="0"/>
        <w:spacing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Journal</w:t>
      </w:r>
      <w:r>
        <w:rPr>
          <w:rFonts w:ascii="宋体" w:hAnsi="宋体" w:cs="宋体"/>
          <w:color w:val="000000"/>
        </w:rPr>
        <w:t xml:space="preserve"> of Advertising, Journal of advertising research</w:t>
      </w:r>
      <w:r w:rsidR="00667316">
        <w:rPr>
          <w:rFonts w:ascii="宋体" w:hAnsi="宋体" w:cs="宋体"/>
          <w:color w:val="000000"/>
        </w:rPr>
        <w:t>，Journal of consumer research</w:t>
      </w:r>
    </w:p>
    <w:p w:rsidR="005D58C4" w:rsidRPr="00762913" w:rsidRDefault="005D58C4" w:rsidP="005D58C4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</w:p>
    <w:p w:rsidR="005D58C4" w:rsidRPr="007165C2" w:rsidRDefault="005D58C4" w:rsidP="005D58C4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编制人：</w:t>
      </w:r>
      <w:r>
        <w:rPr>
          <w:rFonts w:ascii="宋体" w:hAnsi="宋体" w:cs="宋体" w:hint="eastAsia"/>
          <w:color w:val="000000"/>
        </w:rPr>
        <w:t>顾明毅</w:t>
      </w:r>
    </w:p>
    <w:p w:rsidR="005D58C4" w:rsidRPr="007165C2" w:rsidRDefault="005D58C4" w:rsidP="005D58C4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学科点负责人：</w:t>
      </w:r>
    </w:p>
    <w:p w:rsidR="005D58C4" w:rsidRPr="007165C2" w:rsidRDefault="005D58C4" w:rsidP="005D58C4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编制时间：</w:t>
      </w:r>
    </w:p>
    <w:p w:rsidR="004E2F7F" w:rsidRPr="005D58C4" w:rsidRDefault="004E2F7F" w:rsidP="00180D6F">
      <w:pPr>
        <w:rPr>
          <w:sz w:val="24"/>
          <w:szCs w:val="24"/>
        </w:rPr>
      </w:pPr>
    </w:p>
    <w:sectPr w:rsidR="004E2F7F" w:rsidRPr="005D5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359" w:rsidRDefault="00787359" w:rsidP="005D58C4">
      <w:r>
        <w:separator/>
      </w:r>
    </w:p>
  </w:endnote>
  <w:endnote w:type="continuationSeparator" w:id="0">
    <w:p w:rsidR="00787359" w:rsidRDefault="00787359" w:rsidP="005D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359" w:rsidRDefault="00787359" w:rsidP="005D58C4">
      <w:r>
        <w:separator/>
      </w:r>
    </w:p>
  </w:footnote>
  <w:footnote w:type="continuationSeparator" w:id="0">
    <w:p w:rsidR="00787359" w:rsidRDefault="00787359" w:rsidP="005D5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95"/>
    <w:rsid w:val="00033521"/>
    <w:rsid w:val="00143345"/>
    <w:rsid w:val="00180D6F"/>
    <w:rsid w:val="001B1BF7"/>
    <w:rsid w:val="003B135C"/>
    <w:rsid w:val="003F2C48"/>
    <w:rsid w:val="004E2F7F"/>
    <w:rsid w:val="005D58C4"/>
    <w:rsid w:val="005F7B95"/>
    <w:rsid w:val="00633537"/>
    <w:rsid w:val="006404EE"/>
    <w:rsid w:val="00660424"/>
    <w:rsid w:val="00667316"/>
    <w:rsid w:val="00673AFD"/>
    <w:rsid w:val="00744D8D"/>
    <w:rsid w:val="00775D66"/>
    <w:rsid w:val="00787359"/>
    <w:rsid w:val="008C4DBD"/>
    <w:rsid w:val="008D576B"/>
    <w:rsid w:val="008E677D"/>
    <w:rsid w:val="009362DA"/>
    <w:rsid w:val="009F5573"/>
    <w:rsid w:val="00A23A86"/>
    <w:rsid w:val="00B01D68"/>
    <w:rsid w:val="00BE24A1"/>
    <w:rsid w:val="00CB6937"/>
    <w:rsid w:val="00D9105E"/>
    <w:rsid w:val="00DA2F1D"/>
    <w:rsid w:val="00F2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8A95A"/>
  <w15:chartTrackingRefBased/>
  <w15:docId w15:val="{CF81D035-A471-4BA9-81DC-179DBA34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2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1"/>
    <w:unhideWhenUsed/>
    <w:qFormat/>
    <w:rsid w:val="003B135C"/>
    <w:pPr>
      <w:keepNext/>
      <w:keepLines/>
      <w:widowControl/>
      <w:spacing w:before="200" w:after="8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8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8C4"/>
    <w:rPr>
      <w:sz w:val="18"/>
      <w:szCs w:val="18"/>
    </w:rPr>
  </w:style>
  <w:style w:type="paragraph" w:styleId="a7">
    <w:name w:val="List Paragraph"/>
    <w:basedOn w:val="a"/>
    <w:uiPriority w:val="34"/>
    <w:qFormat/>
    <w:rsid w:val="005D58C4"/>
    <w:pPr>
      <w:ind w:firstLineChars="200" w:firstLine="420"/>
    </w:pPr>
  </w:style>
  <w:style w:type="paragraph" w:customStyle="1" w:styleId="reader-word-layer">
    <w:name w:val="reader-word-layer"/>
    <w:basedOn w:val="a"/>
    <w:rsid w:val="005D58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1"/>
    <w:rsid w:val="003B135C"/>
    <w:rPr>
      <w:rFonts w:asciiTheme="majorHAnsi" w:eastAsiaTheme="majorEastAsia" w:hAnsiTheme="majorHAnsi" w:cstheme="majorBidi"/>
      <w:b/>
      <w:bCs/>
      <w:color w:val="5B9BD5" w:themeColor="accent1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B13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3B135C"/>
    <w:rPr>
      <w:rFonts w:ascii="宋体" w:eastAsia="宋体" w:hAnsi="宋体" w:cs="宋体"/>
      <w:kern w:val="0"/>
      <w:sz w:val="24"/>
      <w:szCs w:val="24"/>
    </w:rPr>
  </w:style>
  <w:style w:type="character" w:customStyle="1" w:styleId="citation">
    <w:name w:val="citation"/>
    <w:rsid w:val="009362DA"/>
  </w:style>
  <w:style w:type="character" w:customStyle="1" w:styleId="10">
    <w:name w:val="标题 1 字符"/>
    <w:basedOn w:val="a0"/>
    <w:link w:val="1"/>
    <w:uiPriority w:val="9"/>
    <w:rsid w:val="009362DA"/>
    <w:rPr>
      <w:b/>
      <w:bCs/>
      <w:kern w:val="44"/>
      <w:sz w:val="44"/>
      <w:szCs w:val="44"/>
    </w:rPr>
  </w:style>
  <w:style w:type="character" w:styleId="a8">
    <w:name w:val="Strong"/>
    <w:basedOn w:val="a0"/>
    <w:uiPriority w:val="22"/>
    <w:qFormat/>
    <w:rsid w:val="009362DA"/>
    <w:rPr>
      <w:b/>
      <w:bCs/>
    </w:rPr>
  </w:style>
  <w:style w:type="character" w:customStyle="1" w:styleId="apple-converted-space">
    <w:name w:val="apple-converted-space"/>
    <w:basedOn w:val="a0"/>
    <w:rsid w:val="0093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n.bing.com/dict/search?q=dedicate%20to&amp;FORM=BDVSP2&amp;qpvt=dedicate+t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Mingyi GU</dc:creator>
  <cp:keywords/>
  <dc:description/>
  <cp:lastModifiedBy>Mingyi GU</cp:lastModifiedBy>
  <cp:revision>4</cp:revision>
  <dcterms:created xsi:type="dcterms:W3CDTF">2020-02-22T13:24:00Z</dcterms:created>
  <dcterms:modified xsi:type="dcterms:W3CDTF">2020-02-22T13:30:00Z</dcterms:modified>
</cp:coreProperties>
</file>